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859C" w14:textId="77777777" w:rsidR="0030276F" w:rsidRPr="0030276F" w:rsidRDefault="0030276F" w:rsidP="0030276F">
      <w:pPr>
        <w:shd w:val="clear" w:color="auto" w:fill="FFFFFF"/>
        <w:spacing w:after="0" w:line="240" w:lineRule="auto"/>
        <w:outlineLvl w:val="0"/>
        <w:rPr>
          <w:rFonts w:ascii="Roboto" w:eastAsia="Times New Roman" w:hAnsi="Roboto" w:cs="Times New Roman"/>
          <w:color w:val="0070C0"/>
          <w:kern w:val="36"/>
          <w:sz w:val="44"/>
          <w:szCs w:val="44"/>
          <w:lang w:eastAsia="it-IT"/>
          <w14:ligatures w14:val="none"/>
        </w:rPr>
      </w:pPr>
      <w:r w:rsidRPr="0030276F">
        <w:rPr>
          <w:rFonts w:ascii="Roboto" w:eastAsia="Times New Roman" w:hAnsi="Roboto" w:cs="Times New Roman"/>
          <w:color w:val="0070C0"/>
          <w:kern w:val="36"/>
          <w:sz w:val="44"/>
          <w:szCs w:val="44"/>
          <w:lang w:eastAsia="it-IT"/>
          <w14:ligatures w14:val="none"/>
        </w:rPr>
        <w:t>Whistleblowing - Segnalazioni</w:t>
      </w:r>
    </w:p>
    <w:p w14:paraId="0DE7BE1D" w14:textId="77777777" w:rsidR="000268A9" w:rsidRDefault="0030276F" w:rsidP="000268A9">
      <w:pPr>
        <w:shd w:val="clear" w:color="auto" w:fill="FFFFFF"/>
        <w:spacing w:after="0" w:line="330" w:lineRule="atLeast"/>
        <w:rPr>
          <w:rFonts w:ascii="Arial" w:eastAsia="Times New Roman" w:hAnsi="Arial" w:cs="Arial"/>
          <w:kern w:val="0"/>
          <w:sz w:val="24"/>
          <w:szCs w:val="24"/>
          <w:lang w:eastAsia="it-IT"/>
          <w14:ligatures w14:val="none"/>
        </w:rPr>
      </w:pPr>
      <w:r w:rsidRPr="0030276F">
        <w:rPr>
          <w:rFonts w:ascii="Roboto" w:eastAsia="Times New Roman" w:hAnsi="Roboto" w:cs="Times New Roman"/>
          <w:color w:val="1D1D1B"/>
          <w:kern w:val="0"/>
          <w:sz w:val="26"/>
          <w:szCs w:val="26"/>
          <w:lang w:eastAsia="it-IT"/>
          <w14:ligatures w14:val="none"/>
        </w:rPr>
        <w:br/>
      </w:r>
      <w:r w:rsidRPr="00CF7285">
        <w:rPr>
          <w:rFonts w:ascii="Arial" w:eastAsia="Times New Roman" w:hAnsi="Arial" w:cs="Arial"/>
          <w:kern w:val="0"/>
          <w:sz w:val="24"/>
          <w:szCs w:val="24"/>
          <w:lang w:eastAsia="it-IT"/>
          <w14:ligatures w14:val="none"/>
        </w:rPr>
        <w:t>Il Decreto Legislativo n. 24 di data 10 marzo 2023 recante “</w:t>
      </w:r>
      <w:r w:rsidRPr="00CF7285">
        <w:rPr>
          <w:rFonts w:ascii="Arial" w:eastAsia="Times New Roman" w:hAnsi="Arial" w:cs="Arial"/>
          <w:i/>
          <w:iCs/>
          <w:kern w:val="0"/>
          <w:sz w:val="24"/>
          <w:szCs w:val="24"/>
          <w:lang w:eastAsia="it-IT"/>
          <w14:ligatures w14:val="none"/>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Pr="00CF7285">
        <w:rPr>
          <w:rFonts w:ascii="Arial" w:eastAsia="Times New Roman" w:hAnsi="Arial" w:cs="Arial"/>
          <w:kern w:val="0"/>
          <w:sz w:val="24"/>
          <w:szCs w:val="24"/>
          <w:lang w:eastAsia="it-IT"/>
          <w14:ligatures w14:val="none"/>
        </w:rPr>
        <w:t>”, ha ridisegnato il perimetro di applicazione delle precedenti disposizioni in materia di Whistleblowing, ampliandone in maniera significativa l’area di riferimento.</w:t>
      </w:r>
      <w:r w:rsidRPr="00CF7285">
        <w:rPr>
          <w:rFonts w:ascii="Arial" w:eastAsia="Times New Roman" w:hAnsi="Arial" w:cs="Arial"/>
          <w:kern w:val="0"/>
          <w:sz w:val="24"/>
          <w:szCs w:val="24"/>
          <w:lang w:eastAsia="it-IT"/>
          <w14:ligatures w14:val="none"/>
        </w:rPr>
        <w:br/>
      </w:r>
      <w:r w:rsidRPr="00CF7285">
        <w:rPr>
          <w:rFonts w:ascii="Arial" w:eastAsia="Times New Roman" w:hAnsi="Arial" w:cs="Arial"/>
          <w:kern w:val="0"/>
          <w:sz w:val="24"/>
          <w:szCs w:val="24"/>
          <w:lang w:eastAsia="it-IT"/>
          <w14:ligatures w14:val="none"/>
        </w:rPr>
        <w:br/>
        <w:t xml:space="preserve">Ai sensi delle nuove disposizioni introdotte risultano legittimati ad effettuare una segnalazione le persone che operano nel contesto lavorativo di </w:t>
      </w:r>
      <w:proofErr w:type="spellStart"/>
      <w:r w:rsidRPr="00CF7285">
        <w:rPr>
          <w:rFonts w:ascii="Arial" w:eastAsia="Times New Roman" w:hAnsi="Arial" w:cs="Arial"/>
          <w:kern w:val="0"/>
          <w:sz w:val="24"/>
          <w:szCs w:val="24"/>
          <w:lang w:eastAsia="it-IT"/>
          <w14:ligatures w14:val="none"/>
        </w:rPr>
        <w:t>InRail</w:t>
      </w:r>
      <w:proofErr w:type="spellEnd"/>
      <w:r w:rsidRPr="00CF7285">
        <w:rPr>
          <w:rFonts w:ascii="Arial" w:eastAsia="Times New Roman" w:hAnsi="Arial" w:cs="Arial"/>
          <w:kern w:val="0"/>
          <w:sz w:val="24"/>
          <w:szCs w:val="24"/>
          <w:lang w:eastAsia="it-IT"/>
          <w14:ligatures w14:val="none"/>
        </w:rPr>
        <w:t xml:space="preserve"> S.p.A. in qualità di dipendenti, lavoratori autonomi, collaboratori, liberi professionisti, consulenti, tirocinanti, volontari, azionisti, persone con funzioni di amministrazione, direzione, controllo, vigilanza o rappresentanza, anche se esercitate in via di mero fatto.</w:t>
      </w:r>
      <w:r w:rsidRPr="00CF7285">
        <w:rPr>
          <w:rFonts w:ascii="Arial" w:eastAsia="Times New Roman" w:hAnsi="Arial" w:cs="Arial"/>
          <w:kern w:val="0"/>
          <w:sz w:val="24"/>
          <w:szCs w:val="24"/>
          <w:lang w:eastAsia="it-IT"/>
          <w14:ligatures w14:val="none"/>
        </w:rPr>
        <w:br/>
      </w:r>
      <w:r w:rsidRPr="00CF7285">
        <w:rPr>
          <w:rFonts w:ascii="Arial" w:eastAsia="Times New Roman" w:hAnsi="Arial" w:cs="Arial"/>
          <w:kern w:val="0"/>
          <w:sz w:val="24"/>
          <w:szCs w:val="24"/>
          <w:lang w:eastAsia="it-IT"/>
          <w14:ligatures w14:val="none"/>
        </w:rPr>
        <w:br/>
        <w:t>La segnalazione può avere ad oggetto violazioni di disposizioni normative nazionali o dell’Unione europea, intese quali comportamenti, atti od omissioni che ledono l’interesse pubblico o l’integrità dell’amministrazione pubblica o dell’ente privato, o reati di cui il soggetto segnalante sia venuto a conoscenza.</w:t>
      </w:r>
      <w:r w:rsidRPr="00CF7285">
        <w:rPr>
          <w:rFonts w:ascii="Arial" w:eastAsia="Times New Roman" w:hAnsi="Arial" w:cs="Arial"/>
          <w:kern w:val="0"/>
          <w:sz w:val="24"/>
          <w:szCs w:val="24"/>
          <w:lang w:eastAsia="it-IT"/>
          <w14:ligatures w14:val="none"/>
        </w:rPr>
        <w:br/>
      </w:r>
      <w:r w:rsidRPr="00CF7285">
        <w:rPr>
          <w:rFonts w:ascii="Arial" w:eastAsia="Times New Roman" w:hAnsi="Arial" w:cs="Arial"/>
          <w:kern w:val="0"/>
          <w:sz w:val="24"/>
          <w:szCs w:val="24"/>
          <w:lang w:eastAsia="it-IT"/>
          <w14:ligatures w14:val="none"/>
        </w:rPr>
        <w:br/>
        <w:t>Non sono diversamente ammesse segnalazioni aventi ad oggetto contestazioni o rivendicazioni inerenti un interesse proprio legato a rapporti di lavoro o ad interessi individuali. Sono altresì escluse tutte le segnalazioni che risultano già disciplinate da normative specifiche nazionali o comunitarie.</w:t>
      </w:r>
      <w:r w:rsidRPr="00CF7285">
        <w:rPr>
          <w:rFonts w:ascii="Arial" w:eastAsia="Times New Roman" w:hAnsi="Arial" w:cs="Arial"/>
          <w:kern w:val="0"/>
          <w:sz w:val="24"/>
          <w:szCs w:val="24"/>
          <w:lang w:eastAsia="it-IT"/>
          <w14:ligatures w14:val="none"/>
        </w:rPr>
        <w:br/>
      </w:r>
      <w:r w:rsidRPr="00CF7285">
        <w:rPr>
          <w:rFonts w:ascii="Arial" w:eastAsia="Times New Roman" w:hAnsi="Arial" w:cs="Arial"/>
          <w:kern w:val="0"/>
          <w:sz w:val="24"/>
          <w:szCs w:val="24"/>
          <w:lang w:eastAsia="it-IT"/>
          <w14:ligatures w14:val="none"/>
        </w:rPr>
        <w:br/>
        <w:t xml:space="preserve">In attuazione degli obblighi previsti, </w:t>
      </w:r>
      <w:proofErr w:type="spellStart"/>
      <w:r w:rsidRPr="00CF7285">
        <w:rPr>
          <w:rFonts w:ascii="Arial" w:eastAsia="Times New Roman" w:hAnsi="Arial" w:cs="Arial"/>
          <w:kern w:val="0"/>
          <w:sz w:val="24"/>
          <w:szCs w:val="24"/>
          <w:lang w:eastAsia="it-IT"/>
          <w14:ligatures w14:val="none"/>
        </w:rPr>
        <w:t>InRail</w:t>
      </w:r>
      <w:proofErr w:type="spellEnd"/>
      <w:r w:rsidRPr="00CF7285">
        <w:rPr>
          <w:rFonts w:ascii="Arial" w:eastAsia="Times New Roman" w:hAnsi="Arial" w:cs="Arial"/>
          <w:kern w:val="0"/>
          <w:sz w:val="24"/>
          <w:szCs w:val="24"/>
          <w:lang w:eastAsia="it-IT"/>
          <w14:ligatures w14:val="none"/>
        </w:rPr>
        <w:t xml:space="preserve"> S.p.A. ha adeguato i propri canali interni di comunicazione garantendo la ricezione, l’analisi e il trattamento di segnalazioni Whistleblowing.</w:t>
      </w:r>
      <w:r w:rsidRPr="00CF7285">
        <w:rPr>
          <w:rFonts w:ascii="Arial" w:eastAsia="Times New Roman" w:hAnsi="Arial" w:cs="Arial"/>
          <w:kern w:val="0"/>
          <w:sz w:val="24"/>
          <w:szCs w:val="24"/>
          <w:lang w:eastAsia="it-IT"/>
          <w14:ligatures w14:val="none"/>
        </w:rPr>
        <w:br/>
      </w:r>
      <w:r w:rsidRPr="00CF7285">
        <w:rPr>
          <w:rFonts w:ascii="Arial" w:eastAsia="Times New Roman" w:hAnsi="Arial" w:cs="Arial"/>
          <w:kern w:val="0"/>
          <w:sz w:val="24"/>
          <w:szCs w:val="24"/>
          <w:lang w:eastAsia="it-IT"/>
          <w14:ligatures w14:val="none"/>
        </w:rPr>
        <w:br/>
        <w:t> Le segnalazioni possono essere inoltrate all’Organo deputato alla gestione delle stesse – identificato dalla Società nell’Organismo di Vigilanza – attraverso i seguenti canali:</w:t>
      </w:r>
    </w:p>
    <w:p w14:paraId="75288A2C" w14:textId="77777777" w:rsidR="00D7157D" w:rsidRDefault="0030276F" w:rsidP="000268A9">
      <w:pPr>
        <w:pStyle w:val="Paragrafoelenco"/>
        <w:numPr>
          <w:ilvl w:val="0"/>
          <w:numId w:val="4"/>
        </w:numPr>
        <w:shd w:val="clear" w:color="auto" w:fill="FFFFFF"/>
        <w:spacing w:after="0" w:line="330" w:lineRule="atLeast"/>
        <w:rPr>
          <w:rFonts w:ascii="Arial" w:eastAsia="Times New Roman" w:hAnsi="Arial" w:cs="Arial"/>
          <w:kern w:val="0"/>
          <w:sz w:val="24"/>
          <w:szCs w:val="24"/>
          <w:lang w:eastAsia="it-IT"/>
          <w14:ligatures w14:val="none"/>
        </w:rPr>
      </w:pPr>
      <w:r w:rsidRPr="000268A9">
        <w:rPr>
          <w:rFonts w:ascii="Arial" w:eastAsia="Times New Roman" w:hAnsi="Arial" w:cs="Arial"/>
          <w:kern w:val="0"/>
          <w:sz w:val="24"/>
          <w:szCs w:val="24"/>
          <w:lang w:eastAsia="it-IT"/>
          <w14:ligatures w14:val="none"/>
        </w:rPr>
        <w:t>in forma scritta</w:t>
      </w:r>
      <w:r w:rsidR="00E17E5A" w:rsidRPr="000268A9">
        <w:rPr>
          <w:rFonts w:ascii="Arial" w:eastAsia="Times New Roman" w:hAnsi="Arial" w:cs="Arial"/>
          <w:kern w:val="0"/>
          <w:sz w:val="24"/>
          <w:szCs w:val="24"/>
          <w:lang w:eastAsia="it-IT"/>
          <w14:ligatures w14:val="none"/>
        </w:rPr>
        <w:t>, inviate con documento cartaceo in busta chiusa all’avv. Paolo Corti (nella sua qualità di Presidente dell’</w:t>
      </w:r>
      <w:proofErr w:type="spellStart"/>
      <w:r w:rsidR="00E17E5A" w:rsidRPr="000268A9">
        <w:rPr>
          <w:rFonts w:ascii="Arial" w:eastAsia="Times New Roman" w:hAnsi="Arial" w:cs="Arial"/>
          <w:kern w:val="0"/>
          <w:sz w:val="24"/>
          <w:szCs w:val="24"/>
          <w:lang w:eastAsia="it-IT"/>
          <w14:ligatures w14:val="none"/>
        </w:rPr>
        <w:t>OdV</w:t>
      </w:r>
      <w:proofErr w:type="spellEnd"/>
      <w:r w:rsidR="00E17E5A" w:rsidRPr="000268A9">
        <w:rPr>
          <w:rFonts w:ascii="Arial" w:eastAsia="Times New Roman" w:hAnsi="Arial" w:cs="Arial"/>
          <w:kern w:val="0"/>
          <w:sz w:val="24"/>
          <w:szCs w:val="24"/>
          <w:lang w:eastAsia="it-IT"/>
          <w14:ligatures w14:val="none"/>
        </w:rPr>
        <w:t xml:space="preserve"> della Società), da recapitare presso lo studio del professionista al seguente indirizzo: Largo Adolph </w:t>
      </w:r>
      <w:proofErr w:type="spellStart"/>
      <w:r w:rsidR="00E17E5A" w:rsidRPr="000268A9">
        <w:rPr>
          <w:rFonts w:ascii="Arial" w:eastAsia="Times New Roman" w:hAnsi="Arial" w:cs="Arial"/>
          <w:kern w:val="0"/>
          <w:sz w:val="24"/>
          <w:szCs w:val="24"/>
          <w:lang w:eastAsia="it-IT"/>
          <w14:ligatures w14:val="none"/>
        </w:rPr>
        <w:t>Kolping</w:t>
      </w:r>
      <w:proofErr w:type="spellEnd"/>
      <w:r w:rsidR="00E17E5A" w:rsidRPr="000268A9">
        <w:rPr>
          <w:rFonts w:ascii="Arial" w:eastAsia="Times New Roman" w:hAnsi="Arial" w:cs="Arial"/>
          <w:kern w:val="0"/>
          <w:sz w:val="24"/>
          <w:szCs w:val="24"/>
          <w:lang w:eastAsia="it-IT"/>
          <w14:ligatures w14:val="none"/>
        </w:rPr>
        <w:t xml:space="preserve"> n. 2 – 39100 Bolzano (BZ).</w:t>
      </w:r>
    </w:p>
    <w:p w14:paraId="786AD01E" w14:textId="77777777" w:rsidR="00D7157D" w:rsidRDefault="00D7157D" w:rsidP="00D7157D">
      <w:pPr>
        <w:pStyle w:val="Paragrafoelenco"/>
        <w:shd w:val="clear" w:color="auto" w:fill="FFFFFF"/>
        <w:spacing w:after="0" w:line="330" w:lineRule="atLeast"/>
        <w:rPr>
          <w:rFonts w:ascii="Arial" w:eastAsia="Times New Roman" w:hAnsi="Arial" w:cs="Arial"/>
          <w:kern w:val="0"/>
          <w:sz w:val="24"/>
          <w:szCs w:val="24"/>
          <w:lang w:eastAsia="it-IT"/>
          <w14:ligatures w14:val="none"/>
        </w:rPr>
      </w:pPr>
    </w:p>
    <w:p w14:paraId="7F47FCF3" w14:textId="5FEAD2E7" w:rsidR="00D7157D" w:rsidRPr="00D7157D" w:rsidRDefault="0030276F" w:rsidP="000268A9">
      <w:pPr>
        <w:pStyle w:val="Paragrafoelenco"/>
        <w:numPr>
          <w:ilvl w:val="0"/>
          <w:numId w:val="4"/>
        </w:numPr>
        <w:shd w:val="clear" w:color="auto" w:fill="FFFFFF"/>
        <w:spacing w:after="0" w:line="330" w:lineRule="atLeast"/>
        <w:rPr>
          <w:rFonts w:ascii="Arial" w:eastAsia="Times New Roman" w:hAnsi="Arial" w:cs="Arial"/>
          <w:kern w:val="0"/>
          <w:sz w:val="24"/>
          <w:szCs w:val="24"/>
          <w:lang w:eastAsia="it-IT"/>
          <w14:ligatures w14:val="none"/>
        </w:rPr>
      </w:pPr>
      <w:r w:rsidRPr="000268A9">
        <w:rPr>
          <w:rFonts w:ascii="Arial" w:eastAsia="Times New Roman" w:hAnsi="Arial" w:cs="Arial"/>
          <w:kern w:val="0"/>
          <w:sz w:val="24"/>
          <w:szCs w:val="24"/>
          <w:lang w:eastAsia="it-IT"/>
          <w14:ligatures w14:val="none"/>
        </w:rPr>
        <w:t>per il tramite della piattaforma dedicata, accessibile</w:t>
      </w:r>
      <w:r w:rsidR="0096149C" w:rsidRPr="000268A9">
        <w:rPr>
          <w:rFonts w:ascii="Arial" w:eastAsia="Times New Roman" w:hAnsi="Arial" w:cs="Arial"/>
          <w:kern w:val="0"/>
          <w:sz w:val="24"/>
          <w:szCs w:val="24"/>
          <w:lang w:eastAsia="it-IT"/>
          <w14:ligatures w14:val="none"/>
        </w:rPr>
        <w:t xml:space="preserve">    </w:t>
      </w:r>
      <w:r w:rsidRPr="000268A9">
        <w:rPr>
          <w:rFonts w:ascii="Arial" w:eastAsia="Times New Roman" w:hAnsi="Arial" w:cs="Arial"/>
          <w:kern w:val="0"/>
          <w:sz w:val="24"/>
          <w:szCs w:val="24"/>
          <w:lang w:eastAsia="it-IT"/>
          <w14:ligatures w14:val="none"/>
        </w:rPr>
        <w:t>all’indirizzo </w:t>
      </w:r>
      <w:hyperlink r:id="rId7" w:history="1">
        <w:r w:rsidR="00D7157D" w:rsidRPr="00BF698C">
          <w:rPr>
            <w:rStyle w:val="Collegamentoipertestuale"/>
            <w:rFonts w:ascii="Arial" w:hAnsi="Arial" w:cs="Arial"/>
            <w:sz w:val="24"/>
            <w:szCs w:val="24"/>
          </w:rPr>
          <w:t>https://www.nxnwb.it/app/whbirl/index.html</w:t>
        </w:r>
      </w:hyperlink>
      <w:r w:rsidR="0096149C" w:rsidRPr="000268A9">
        <w:rPr>
          <w:rFonts w:ascii="Arial" w:hAnsi="Arial" w:cs="Arial"/>
          <w:sz w:val="24"/>
          <w:szCs w:val="24"/>
        </w:rPr>
        <w:t>.</w:t>
      </w:r>
    </w:p>
    <w:p w14:paraId="4B993DA8" w14:textId="77777777" w:rsidR="00D7157D" w:rsidRPr="00D7157D" w:rsidRDefault="00D7157D" w:rsidP="00D7157D">
      <w:pPr>
        <w:pStyle w:val="Paragrafoelenco"/>
        <w:rPr>
          <w:rFonts w:ascii="Arial" w:eastAsia="Times New Roman" w:hAnsi="Arial" w:cs="Arial"/>
          <w:kern w:val="0"/>
          <w:sz w:val="24"/>
          <w:szCs w:val="24"/>
          <w:lang w:eastAsia="it-IT"/>
          <w14:ligatures w14:val="none"/>
        </w:rPr>
      </w:pPr>
    </w:p>
    <w:p w14:paraId="20572E55" w14:textId="77777777" w:rsidR="00D7157D" w:rsidRDefault="00D7157D" w:rsidP="00D7157D">
      <w:pPr>
        <w:pStyle w:val="Paragrafoelenco"/>
        <w:shd w:val="clear" w:color="auto" w:fill="FFFFFF"/>
        <w:spacing w:after="0" w:line="330" w:lineRule="atLeast"/>
        <w:rPr>
          <w:rFonts w:ascii="Arial" w:eastAsia="Times New Roman" w:hAnsi="Arial" w:cs="Arial"/>
          <w:kern w:val="0"/>
          <w:sz w:val="24"/>
          <w:szCs w:val="24"/>
          <w:lang w:eastAsia="it-IT"/>
          <w14:ligatures w14:val="none"/>
        </w:rPr>
      </w:pPr>
    </w:p>
    <w:p w14:paraId="643ED495" w14:textId="77777777" w:rsidR="00D7157D" w:rsidRDefault="0030276F" w:rsidP="000268A9">
      <w:pPr>
        <w:pStyle w:val="Paragrafoelenco"/>
        <w:numPr>
          <w:ilvl w:val="0"/>
          <w:numId w:val="4"/>
        </w:numPr>
        <w:shd w:val="clear" w:color="auto" w:fill="FFFFFF"/>
        <w:spacing w:after="0" w:line="330" w:lineRule="atLeast"/>
        <w:rPr>
          <w:rFonts w:ascii="Arial" w:eastAsia="Times New Roman" w:hAnsi="Arial" w:cs="Arial"/>
          <w:kern w:val="0"/>
          <w:sz w:val="24"/>
          <w:szCs w:val="24"/>
          <w:lang w:eastAsia="it-IT"/>
          <w14:ligatures w14:val="none"/>
        </w:rPr>
      </w:pPr>
      <w:r w:rsidRPr="000268A9">
        <w:rPr>
          <w:rFonts w:ascii="Arial" w:eastAsia="Times New Roman" w:hAnsi="Arial" w:cs="Arial"/>
          <w:kern w:val="0"/>
          <w:sz w:val="24"/>
          <w:szCs w:val="24"/>
          <w:lang w:eastAsia="it-IT"/>
          <w14:ligatures w14:val="none"/>
        </w:rPr>
        <w:lastRenderedPageBreak/>
        <w:t>a mezzo di segnalazione vocale, attraverso apposito messaggio registrato nella segreteria telefonica del numero 010-2380334;</w:t>
      </w:r>
    </w:p>
    <w:p w14:paraId="43DD5ED5" w14:textId="77777777" w:rsidR="00D7157D" w:rsidRDefault="0030276F" w:rsidP="000268A9">
      <w:pPr>
        <w:pStyle w:val="Paragrafoelenco"/>
        <w:numPr>
          <w:ilvl w:val="0"/>
          <w:numId w:val="4"/>
        </w:numPr>
        <w:shd w:val="clear" w:color="auto" w:fill="FFFFFF"/>
        <w:spacing w:after="0" w:line="330" w:lineRule="atLeast"/>
        <w:rPr>
          <w:rFonts w:ascii="Arial" w:eastAsia="Times New Roman" w:hAnsi="Arial" w:cs="Arial"/>
          <w:kern w:val="0"/>
          <w:sz w:val="24"/>
          <w:szCs w:val="24"/>
          <w:lang w:eastAsia="it-IT"/>
          <w14:ligatures w14:val="none"/>
        </w:rPr>
      </w:pPr>
      <w:r w:rsidRPr="000268A9">
        <w:rPr>
          <w:rFonts w:ascii="Arial" w:eastAsia="Times New Roman" w:hAnsi="Arial" w:cs="Arial"/>
          <w:kern w:val="0"/>
          <w:sz w:val="24"/>
          <w:szCs w:val="24"/>
          <w:lang w:eastAsia="it-IT"/>
          <w14:ligatures w14:val="none"/>
        </w:rPr>
        <w:t>attraverso la programmazione di un incontro con il personale dell’Organismo di Vigilanza contattando il numero 010-2380334;</w:t>
      </w:r>
      <w:r w:rsidRPr="000268A9">
        <w:rPr>
          <w:rFonts w:ascii="Arial" w:eastAsia="Times New Roman" w:hAnsi="Arial" w:cs="Arial"/>
          <w:kern w:val="0"/>
          <w:sz w:val="24"/>
          <w:szCs w:val="24"/>
          <w:lang w:eastAsia="it-IT"/>
          <w14:ligatures w14:val="none"/>
        </w:rPr>
        <w:br/>
      </w:r>
    </w:p>
    <w:p w14:paraId="17F1AC7B" w14:textId="2536D6DB" w:rsidR="0030276F" w:rsidRPr="00D7157D" w:rsidRDefault="0030276F" w:rsidP="00D7157D">
      <w:pPr>
        <w:shd w:val="clear" w:color="auto" w:fill="FFFFFF"/>
        <w:spacing w:after="0" w:line="330" w:lineRule="atLeast"/>
        <w:ind w:left="360"/>
        <w:rPr>
          <w:rFonts w:ascii="Arial" w:eastAsia="Times New Roman" w:hAnsi="Arial" w:cs="Arial"/>
          <w:kern w:val="0"/>
          <w:sz w:val="24"/>
          <w:szCs w:val="24"/>
          <w:lang w:eastAsia="it-IT"/>
          <w14:ligatures w14:val="none"/>
        </w:rPr>
      </w:pPr>
      <w:r w:rsidRPr="00D7157D">
        <w:rPr>
          <w:rFonts w:ascii="Arial" w:eastAsia="Times New Roman" w:hAnsi="Arial" w:cs="Arial"/>
          <w:kern w:val="0"/>
          <w:sz w:val="24"/>
          <w:szCs w:val="24"/>
          <w:lang w:eastAsia="it-IT"/>
          <w14:ligatures w14:val="none"/>
        </w:rPr>
        <w:t xml:space="preserve">In favore del segnalante sono previste le forme di tutela di cui al d.lgs. n. 24 del 2023. Queste tutele sono relative al divieto di </w:t>
      </w:r>
      <w:proofErr w:type="gramStart"/>
      <w:r w:rsidRPr="00D7157D">
        <w:rPr>
          <w:rFonts w:ascii="Arial" w:eastAsia="Times New Roman" w:hAnsi="Arial" w:cs="Arial"/>
          <w:kern w:val="0"/>
          <w:sz w:val="24"/>
          <w:szCs w:val="24"/>
          <w:lang w:eastAsia="it-IT"/>
          <w14:ligatures w14:val="none"/>
        </w:rPr>
        <w:t>porre in essere</w:t>
      </w:r>
      <w:proofErr w:type="gramEnd"/>
      <w:r w:rsidRPr="00D7157D">
        <w:rPr>
          <w:rFonts w:ascii="Arial" w:eastAsia="Times New Roman" w:hAnsi="Arial" w:cs="Arial"/>
          <w:kern w:val="0"/>
          <w:sz w:val="24"/>
          <w:szCs w:val="24"/>
          <w:lang w:eastAsia="it-IT"/>
          <w14:ligatures w14:val="none"/>
        </w:rPr>
        <w:t xml:space="preserve"> comportamenti di ritorsione. In particolare</w:t>
      </w:r>
      <w:r w:rsidR="0096149C" w:rsidRPr="00D7157D">
        <w:rPr>
          <w:rFonts w:ascii="Arial" w:eastAsia="Times New Roman" w:hAnsi="Arial" w:cs="Arial"/>
          <w:kern w:val="0"/>
          <w:sz w:val="24"/>
          <w:szCs w:val="24"/>
          <w:lang w:eastAsia="it-IT"/>
          <w14:ligatures w14:val="none"/>
        </w:rPr>
        <w:t>,</w:t>
      </w:r>
      <w:r w:rsidRPr="00D7157D">
        <w:rPr>
          <w:rFonts w:ascii="Arial" w:eastAsia="Times New Roman" w:hAnsi="Arial" w:cs="Arial"/>
          <w:kern w:val="0"/>
          <w:sz w:val="24"/>
          <w:szCs w:val="24"/>
          <w:lang w:eastAsia="it-IT"/>
          <w14:ligatures w14:val="none"/>
        </w:rPr>
        <w:t xml:space="preserve"> per ritorsione si intende qualsiasi comportamento, atto od omissione, anche solo tentata o minacciata, posta in essere in ragione della segnalazione e che provoca o possa provocare al segnalante, in via diretta o indiretta, un danno ingiusto. Il modello di </w:t>
      </w:r>
      <w:proofErr w:type="spellStart"/>
      <w:r w:rsidR="0096149C" w:rsidRPr="00D7157D">
        <w:rPr>
          <w:rFonts w:ascii="Arial" w:eastAsia="Times New Roman" w:hAnsi="Arial" w:cs="Arial"/>
          <w:kern w:val="0"/>
          <w:sz w:val="24"/>
          <w:szCs w:val="24"/>
          <w:lang w:eastAsia="it-IT"/>
          <w14:ligatures w14:val="none"/>
        </w:rPr>
        <w:t>InRail</w:t>
      </w:r>
      <w:proofErr w:type="spellEnd"/>
      <w:r w:rsidRPr="00D7157D">
        <w:rPr>
          <w:rFonts w:ascii="Arial" w:eastAsia="Times New Roman" w:hAnsi="Arial" w:cs="Arial"/>
          <w:kern w:val="0"/>
          <w:sz w:val="24"/>
          <w:szCs w:val="24"/>
          <w:lang w:eastAsia="it-IT"/>
          <w14:ligatures w14:val="none"/>
        </w:rPr>
        <w:t xml:space="preserve"> S.p.A. garantisce inoltre la riservatezza del segnalante in tutte le fasi di gestione della segnalazione, anche mediante l’utilizzo di strumenti di crittografia.</w:t>
      </w:r>
      <w:r w:rsidRPr="00D7157D">
        <w:rPr>
          <w:rFonts w:ascii="Arial" w:eastAsia="Times New Roman" w:hAnsi="Arial" w:cs="Arial"/>
          <w:kern w:val="0"/>
          <w:sz w:val="24"/>
          <w:szCs w:val="24"/>
          <w:lang w:eastAsia="it-IT"/>
          <w14:ligatures w14:val="none"/>
        </w:rPr>
        <w:br/>
      </w:r>
      <w:r w:rsidRPr="00D7157D">
        <w:rPr>
          <w:rFonts w:ascii="Arial" w:eastAsia="Times New Roman" w:hAnsi="Arial" w:cs="Arial"/>
          <w:kern w:val="0"/>
          <w:sz w:val="24"/>
          <w:szCs w:val="24"/>
          <w:lang w:eastAsia="it-IT"/>
          <w14:ligatures w14:val="none"/>
        </w:rPr>
        <w:br/>
        <w:t>Nell’ambito della gestione del canale di segnalazione sarà rilasciato, laddove reso un recapito da parte del segnalante, un avviso di ricevimento della segnalazione entro sette giorni dalla data di svolgimento della stessa, volto a consentire il monitoraggio dell’iter della stessa.</w:t>
      </w:r>
      <w:r w:rsidRPr="00D7157D">
        <w:rPr>
          <w:rFonts w:ascii="Arial" w:eastAsia="Times New Roman" w:hAnsi="Arial" w:cs="Arial"/>
          <w:kern w:val="0"/>
          <w:sz w:val="24"/>
          <w:szCs w:val="24"/>
          <w:lang w:eastAsia="it-IT"/>
          <w14:ligatures w14:val="none"/>
        </w:rPr>
        <w:br/>
      </w:r>
      <w:r w:rsidRPr="00D7157D">
        <w:rPr>
          <w:rFonts w:ascii="Arial" w:eastAsia="Times New Roman" w:hAnsi="Arial" w:cs="Arial"/>
          <w:kern w:val="0"/>
          <w:sz w:val="24"/>
          <w:szCs w:val="24"/>
          <w:lang w:eastAsia="it-IT"/>
          <w14:ligatures w14:val="none"/>
        </w:rPr>
        <w:br/>
        <w:t>Si specifica infine che laddove siano effettuate segnalazioni diffamatorie il segnalante potrebbe essere chiamato a risponderne a norma di legge.</w:t>
      </w:r>
      <w:r w:rsidRPr="00D7157D">
        <w:rPr>
          <w:rFonts w:ascii="Arial" w:eastAsia="Times New Roman" w:hAnsi="Arial" w:cs="Arial"/>
          <w:kern w:val="0"/>
          <w:sz w:val="24"/>
          <w:szCs w:val="24"/>
          <w:lang w:eastAsia="it-IT"/>
          <w14:ligatures w14:val="none"/>
        </w:rPr>
        <w:br/>
      </w:r>
      <w:r w:rsidRPr="00D7157D">
        <w:rPr>
          <w:rFonts w:ascii="Arial" w:eastAsia="Times New Roman" w:hAnsi="Arial" w:cs="Arial"/>
          <w:kern w:val="0"/>
          <w:sz w:val="24"/>
          <w:szCs w:val="24"/>
          <w:lang w:eastAsia="it-IT"/>
          <w14:ligatures w14:val="none"/>
        </w:rPr>
        <w:br/>
        <w:t>Per ogni ulteriore informazione di dettaglio si rimanda alla procedura sotto riportata.</w:t>
      </w:r>
    </w:p>
    <w:p w14:paraId="4C2FE456" w14:textId="77777777" w:rsidR="00AC1C8E" w:rsidRDefault="00AC1C8E" w:rsidP="000268A9"/>
    <w:p w14:paraId="0FF53254" w14:textId="6E7F0610" w:rsidR="00AC1C8E" w:rsidRPr="000268A9" w:rsidRDefault="00D7157D" w:rsidP="000268A9">
      <w:pPr>
        <w:rPr>
          <w:rFonts w:ascii="Arial" w:hAnsi="Arial" w:cs="Arial"/>
          <w:sz w:val="24"/>
          <w:szCs w:val="24"/>
        </w:rPr>
      </w:pPr>
      <w:r>
        <w:rPr>
          <w:rFonts w:ascii="Arial" w:hAnsi="Arial" w:cs="Arial"/>
          <w:sz w:val="24"/>
          <w:szCs w:val="24"/>
        </w:rPr>
        <w:t xml:space="preserve">      </w:t>
      </w:r>
      <w:r w:rsidR="00AC1C8E" w:rsidRPr="000268A9">
        <w:rPr>
          <w:rFonts w:ascii="Arial" w:hAnsi="Arial" w:cs="Arial"/>
          <w:sz w:val="24"/>
          <w:szCs w:val="24"/>
        </w:rPr>
        <w:t>Allegati:</w:t>
      </w:r>
    </w:p>
    <w:p w14:paraId="5EE60D31" w14:textId="5C245443" w:rsidR="00AC1C8E" w:rsidRPr="00D7157D" w:rsidRDefault="00DF0383" w:rsidP="000268A9">
      <w:pPr>
        <w:pStyle w:val="Paragrafoelenco"/>
        <w:numPr>
          <w:ilvl w:val="0"/>
          <w:numId w:val="3"/>
        </w:numPr>
        <w:rPr>
          <w:rFonts w:ascii="Arial" w:hAnsi="Arial" w:cs="Arial"/>
          <w:i/>
          <w:iCs/>
          <w:sz w:val="24"/>
          <w:szCs w:val="24"/>
        </w:rPr>
      </w:pPr>
      <w:r w:rsidRPr="00D7157D">
        <w:rPr>
          <w:rFonts w:ascii="Arial" w:hAnsi="Arial" w:cs="Arial"/>
          <w:i/>
          <w:iCs/>
          <w:sz w:val="24"/>
          <w:szCs w:val="24"/>
        </w:rPr>
        <w:t>Informativa Privacy Whistleb</w:t>
      </w:r>
      <w:r w:rsidR="00025556" w:rsidRPr="00D7157D">
        <w:rPr>
          <w:rFonts w:ascii="Arial" w:hAnsi="Arial" w:cs="Arial"/>
          <w:i/>
          <w:iCs/>
          <w:sz w:val="24"/>
          <w:szCs w:val="24"/>
        </w:rPr>
        <w:t>lowing</w:t>
      </w:r>
    </w:p>
    <w:p w14:paraId="31BA7C5F" w14:textId="1626766D" w:rsidR="00025556" w:rsidRPr="00D7157D" w:rsidRDefault="00025556" w:rsidP="000268A9">
      <w:pPr>
        <w:pStyle w:val="Paragrafoelenco"/>
        <w:numPr>
          <w:ilvl w:val="0"/>
          <w:numId w:val="3"/>
        </w:numPr>
        <w:rPr>
          <w:rFonts w:ascii="Arial" w:hAnsi="Arial" w:cs="Arial"/>
          <w:i/>
          <w:iCs/>
          <w:sz w:val="24"/>
          <w:szCs w:val="24"/>
        </w:rPr>
      </w:pPr>
      <w:r w:rsidRPr="00D7157D">
        <w:rPr>
          <w:rFonts w:ascii="Arial" w:hAnsi="Arial" w:cs="Arial"/>
          <w:i/>
          <w:iCs/>
          <w:sz w:val="24"/>
          <w:szCs w:val="24"/>
        </w:rPr>
        <w:t>Procedura Gestione delle Segnalazioni (Whistleblowing)</w:t>
      </w:r>
    </w:p>
    <w:sectPr w:rsidR="00025556" w:rsidRPr="00D7157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E642" w14:textId="77777777" w:rsidR="0096149C" w:rsidRDefault="0096149C" w:rsidP="0096149C">
      <w:pPr>
        <w:spacing w:after="0" w:line="240" w:lineRule="auto"/>
      </w:pPr>
      <w:r>
        <w:separator/>
      </w:r>
    </w:p>
  </w:endnote>
  <w:endnote w:type="continuationSeparator" w:id="0">
    <w:p w14:paraId="4B03F906" w14:textId="77777777" w:rsidR="0096149C" w:rsidRDefault="0096149C" w:rsidP="0096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3BB8" w14:textId="77777777" w:rsidR="0096149C" w:rsidRDefault="0096149C" w:rsidP="0096149C">
      <w:pPr>
        <w:spacing w:after="0" w:line="240" w:lineRule="auto"/>
      </w:pPr>
      <w:r>
        <w:separator/>
      </w:r>
    </w:p>
  </w:footnote>
  <w:footnote w:type="continuationSeparator" w:id="0">
    <w:p w14:paraId="6B34D7DC" w14:textId="77777777" w:rsidR="0096149C" w:rsidRDefault="0096149C" w:rsidP="00961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C1FB8"/>
    <w:multiLevelType w:val="hybridMultilevel"/>
    <w:tmpl w:val="02664310"/>
    <w:lvl w:ilvl="0" w:tplc="254E755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7048D0"/>
    <w:multiLevelType w:val="hybridMultilevel"/>
    <w:tmpl w:val="9466862E"/>
    <w:lvl w:ilvl="0" w:tplc="399EC8A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D82A48"/>
    <w:multiLevelType w:val="hybridMultilevel"/>
    <w:tmpl w:val="0D9C9824"/>
    <w:lvl w:ilvl="0" w:tplc="0264074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1537A4"/>
    <w:multiLevelType w:val="hybridMultilevel"/>
    <w:tmpl w:val="ABF66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8897713">
    <w:abstractNumId w:val="1"/>
  </w:num>
  <w:num w:numId="2" w16cid:durableId="855192782">
    <w:abstractNumId w:val="2"/>
  </w:num>
  <w:num w:numId="3" w16cid:durableId="1388913366">
    <w:abstractNumId w:val="0"/>
  </w:num>
  <w:num w:numId="4" w16cid:durableId="1732537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6F"/>
    <w:rsid w:val="00025556"/>
    <w:rsid w:val="000268A9"/>
    <w:rsid w:val="0030276F"/>
    <w:rsid w:val="003F5EE6"/>
    <w:rsid w:val="006C6568"/>
    <w:rsid w:val="00805E79"/>
    <w:rsid w:val="0096149C"/>
    <w:rsid w:val="009B553E"/>
    <w:rsid w:val="00AC1C8E"/>
    <w:rsid w:val="00AF53FA"/>
    <w:rsid w:val="00CF7285"/>
    <w:rsid w:val="00D7157D"/>
    <w:rsid w:val="00DF0383"/>
    <w:rsid w:val="00E17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7A9E"/>
  <w15:chartTrackingRefBased/>
  <w15:docId w15:val="{6BA3AA3B-EAED-4094-BF52-5A890F97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2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02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0276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0276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0276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0276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276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276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276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276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0276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0276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0276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0276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027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27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27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27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2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27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276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27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276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276F"/>
    <w:rPr>
      <w:i/>
      <w:iCs/>
      <w:color w:val="404040" w:themeColor="text1" w:themeTint="BF"/>
    </w:rPr>
  </w:style>
  <w:style w:type="paragraph" w:styleId="Paragrafoelenco">
    <w:name w:val="List Paragraph"/>
    <w:basedOn w:val="Normale"/>
    <w:uiPriority w:val="34"/>
    <w:qFormat/>
    <w:rsid w:val="0030276F"/>
    <w:pPr>
      <w:ind w:left="720"/>
      <w:contextualSpacing/>
    </w:pPr>
  </w:style>
  <w:style w:type="character" w:styleId="Enfasiintensa">
    <w:name w:val="Intense Emphasis"/>
    <w:basedOn w:val="Carpredefinitoparagrafo"/>
    <w:uiPriority w:val="21"/>
    <w:qFormat/>
    <w:rsid w:val="0030276F"/>
    <w:rPr>
      <w:i/>
      <w:iCs/>
      <w:color w:val="0F4761" w:themeColor="accent1" w:themeShade="BF"/>
    </w:rPr>
  </w:style>
  <w:style w:type="paragraph" w:styleId="Citazioneintensa">
    <w:name w:val="Intense Quote"/>
    <w:basedOn w:val="Normale"/>
    <w:next w:val="Normale"/>
    <w:link w:val="CitazioneintensaCarattere"/>
    <w:uiPriority w:val="30"/>
    <w:qFormat/>
    <w:rsid w:val="0030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0276F"/>
    <w:rPr>
      <w:i/>
      <w:iCs/>
      <w:color w:val="0F4761" w:themeColor="accent1" w:themeShade="BF"/>
    </w:rPr>
  </w:style>
  <w:style w:type="character" w:styleId="Riferimentointenso">
    <w:name w:val="Intense Reference"/>
    <w:basedOn w:val="Carpredefinitoparagrafo"/>
    <w:uiPriority w:val="32"/>
    <w:qFormat/>
    <w:rsid w:val="0030276F"/>
    <w:rPr>
      <w:b/>
      <w:bCs/>
      <w:smallCaps/>
      <w:color w:val="0F4761" w:themeColor="accent1" w:themeShade="BF"/>
      <w:spacing w:val="5"/>
    </w:rPr>
  </w:style>
  <w:style w:type="character" w:styleId="Enfasicorsivo">
    <w:name w:val="Emphasis"/>
    <w:basedOn w:val="Carpredefinitoparagrafo"/>
    <w:uiPriority w:val="20"/>
    <w:qFormat/>
    <w:rsid w:val="0030276F"/>
    <w:rPr>
      <w:i/>
      <w:iCs/>
    </w:rPr>
  </w:style>
  <w:style w:type="character" w:styleId="Collegamentoipertestuale">
    <w:name w:val="Hyperlink"/>
    <w:basedOn w:val="Carpredefinitoparagrafo"/>
    <w:uiPriority w:val="99"/>
    <w:unhideWhenUsed/>
    <w:rsid w:val="0030276F"/>
    <w:rPr>
      <w:color w:val="0000FF"/>
      <w:u w:val="single"/>
    </w:rPr>
  </w:style>
  <w:style w:type="paragraph" w:styleId="Intestazione">
    <w:name w:val="header"/>
    <w:basedOn w:val="Normale"/>
    <w:link w:val="IntestazioneCarattere"/>
    <w:uiPriority w:val="99"/>
    <w:unhideWhenUsed/>
    <w:rsid w:val="009614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149C"/>
  </w:style>
  <w:style w:type="paragraph" w:styleId="Pidipagina">
    <w:name w:val="footer"/>
    <w:basedOn w:val="Normale"/>
    <w:link w:val="PidipaginaCarattere"/>
    <w:uiPriority w:val="99"/>
    <w:unhideWhenUsed/>
    <w:rsid w:val="009614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149C"/>
  </w:style>
  <w:style w:type="character" w:styleId="Menzionenonrisolta">
    <w:name w:val="Unresolved Mention"/>
    <w:basedOn w:val="Carpredefinitoparagrafo"/>
    <w:uiPriority w:val="99"/>
    <w:semiHidden/>
    <w:unhideWhenUsed/>
    <w:rsid w:val="00D71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1268">
      <w:bodyDiv w:val="1"/>
      <w:marLeft w:val="0"/>
      <w:marRight w:val="0"/>
      <w:marTop w:val="0"/>
      <w:marBottom w:val="0"/>
      <w:divBdr>
        <w:top w:val="none" w:sz="0" w:space="0" w:color="auto"/>
        <w:left w:val="none" w:sz="0" w:space="0" w:color="auto"/>
        <w:bottom w:val="none" w:sz="0" w:space="0" w:color="auto"/>
        <w:right w:val="none" w:sz="0" w:space="0" w:color="auto"/>
      </w:divBdr>
      <w:divsChild>
        <w:div w:id="964890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xnwb.it/app/whbirl/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586</Words>
  <Characters>3342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Legal</cp:lastModifiedBy>
  <cp:revision>9</cp:revision>
  <dcterms:created xsi:type="dcterms:W3CDTF">2024-03-19T16:30:00Z</dcterms:created>
  <dcterms:modified xsi:type="dcterms:W3CDTF">2024-03-20T15:56:00Z</dcterms:modified>
</cp:coreProperties>
</file>